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СИЛЛАБУС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Осенний семестр </w:t>
      </w:r>
      <w:r>
        <w:rPr>
          <w:b w:val="1"/>
          <w:bCs w:val="1"/>
          <w:sz w:val="20"/>
          <w:szCs w:val="20"/>
          <w:rtl w:val="0"/>
          <w:lang w:val="ru-RU"/>
        </w:rPr>
        <w:t xml:space="preserve">2023-2024 </w:t>
      </w:r>
      <w:r>
        <w:rPr>
          <w:b w:val="1"/>
          <w:bCs w:val="1"/>
          <w:sz w:val="20"/>
          <w:szCs w:val="20"/>
          <w:rtl w:val="0"/>
          <w:lang w:val="ru-RU"/>
        </w:rPr>
        <w:t>учебного года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Образовательная программа </w:t>
      </w:r>
      <w:r>
        <w:rPr>
          <w:b w:val="1"/>
          <w:bCs w:val="1"/>
          <w:sz w:val="20"/>
          <w:szCs w:val="20"/>
          <w:rtl w:val="0"/>
          <w:lang w:val="ru-RU"/>
        </w:rPr>
        <w:t>6</w:t>
      </w:r>
      <w:r>
        <w:rPr>
          <w:b w:val="1"/>
          <w:bCs w:val="1"/>
          <w:sz w:val="20"/>
          <w:szCs w:val="20"/>
          <w:rtl w:val="0"/>
          <w:lang w:val="ru-RU"/>
        </w:rPr>
        <w:t>В</w:t>
      </w:r>
      <w:r>
        <w:rPr>
          <w:b w:val="1"/>
          <w:bCs w:val="1"/>
          <w:sz w:val="20"/>
          <w:szCs w:val="20"/>
          <w:rtl w:val="0"/>
          <w:lang w:val="ru-RU"/>
        </w:rPr>
        <w:t xml:space="preserve">04205 </w:t>
      </w:r>
      <w:r>
        <w:rPr>
          <w:b w:val="1"/>
          <w:bCs w:val="1"/>
          <w:sz w:val="20"/>
          <w:szCs w:val="20"/>
          <w:rtl w:val="0"/>
          <w:lang w:val="ru-RU"/>
        </w:rPr>
        <w:t>– «Юриспруденция»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</w:p>
    <w:tbl>
      <w:tblPr>
        <w:tblW w:w="934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5"/>
        <w:gridCol w:w="1137"/>
        <w:gridCol w:w="886"/>
        <w:gridCol w:w="884"/>
        <w:gridCol w:w="1010"/>
        <w:gridCol w:w="632"/>
        <w:gridCol w:w="1263"/>
        <w:gridCol w:w="2022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5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ID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 наименование дисциплины</w:t>
            </w:r>
          </w:p>
        </w:tc>
        <w:tc>
          <w:tcPr>
            <w:tcW w:type="dxa" w:w="2023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Самостоятельная работа обучающегося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СРО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5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во кредитов </w:t>
            </w:r>
          </w:p>
        </w:tc>
        <w:tc>
          <w:tcPr>
            <w:tcW w:type="dxa" w:w="12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Общее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во кредитов</w:t>
            </w:r>
          </w:p>
        </w:tc>
        <w:tc>
          <w:tcPr>
            <w:tcW w:type="dxa" w:w="20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Самостоятельная работа обучающегося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под руководством преподавателя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СРОП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50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</w:tcPr>
          <w:p/>
        </w:tc>
        <w:tc>
          <w:tcPr>
            <w:tcW w:type="dxa" w:w="2023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</w:tcPr>
          <w:p/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Лекции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Практ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занятия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ПЗ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Лаб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занятия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ЛЗ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2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</w:tcPr>
          <w:p/>
        </w:tc>
        <w:tc>
          <w:tcPr>
            <w:tcW w:type="dxa" w:w="20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</w:tcPr>
          <w:p/>
        </w:tc>
      </w:tr>
      <w:tr>
        <w:tblPrEx>
          <w:shd w:val="clear" w:color="auto" w:fill="ced7e7"/>
        </w:tblPrEx>
        <w:trPr>
          <w:trHeight w:val="155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1108; POPK 1111; POPK 2106; POPK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Правовые основы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</w:p>
        </w:tc>
        <w:tc>
          <w:tcPr>
            <w:tcW w:type="dxa" w:w="20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clear" w:color="auto" w:fill="ffffff"/>
                <w:rtl w:val="0"/>
                <w:lang w:val="ru-RU"/>
              </w:rPr>
              <w:t>7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1,70</w:t>
            </w:r>
          </w:p>
        </w:tc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3.30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349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АКАДЕМИЧЕСКАЯ ИНФОРМАЦИЯ О ДИСЦИПЛИНЕ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Формат обучения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Цикл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компонент</w:t>
            </w:r>
          </w:p>
        </w:tc>
        <w:tc>
          <w:tcPr>
            <w:tcW w:type="dxa" w:w="17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Типы лекций</w:t>
            </w:r>
          </w:p>
        </w:tc>
        <w:tc>
          <w:tcPr>
            <w:tcW w:type="dxa" w:w="1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Типы практических занятий</w:t>
            </w:r>
          </w:p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Форма и платформа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итогового контроля</w:t>
            </w:r>
          </w:p>
        </w:tc>
      </w:tr>
      <w:tr>
        <w:tblPrEx>
          <w:shd w:val="clear" w:color="auto" w:fill="ced7e7"/>
        </w:tblPrEx>
        <w:trPr>
          <w:trHeight w:val="133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Офлайн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Цикл базовыых дисциплин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вузовый компонент</w:t>
            </w:r>
          </w:p>
        </w:tc>
        <w:tc>
          <w:tcPr>
            <w:tcW w:type="dxa" w:w="17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Вводная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Информационная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Обзорная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Лекция диалог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Лекция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визуализация</w:t>
            </w:r>
          </w:p>
        </w:tc>
        <w:tc>
          <w:tcPr>
            <w:tcW w:type="dxa" w:w="1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Анализ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решение задач</w:t>
            </w:r>
          </w:p>
        </w:tc>
        <w:tc>
          <w:tcPr>
            <w:tcW w:type="dxa" w:w="3285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Система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Univer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тест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Лектор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 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5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Абдрахманов Данияр Саттарович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старший преподаватель</w:t>
            </w:r>
          </w:p>
        </w:tc>
        <w:tc>
          <w:tcPr>
            <w:tcW w:type="dxa" w:w="328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e-mail:</w:t>
            </w:r>
          </w:p>
        </w:tc>
        <w:tc>
          <w:tcPr>
            <w:tcW w:type="dxa" w:w="45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"mailto:daniyar.abdrahmanov@gmail.com"</w:instrText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d</w:t>
            </w:r>
            <w:r>
              <w:rPr>
                <w:rStyle w:val="Нет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aniyar.abdrahmanov@gmail.com</w:t>
            </w:r>
            <w:r>
              <w:rPr/>
              <w:fldChar w:fldCharType="end" w:fldLock="0"/>
            </w:r>
          </w:p>
        </w:tc>
        <w:tc>
          <w:tcPr>
            <w:tcW w:type="dxa" w:w="328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5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87011002284</w:t>
            </w:r>
          </w:p>
        </w:tc>
        <w:tc>
          <w:tcPr>
            <w:tcW w:type="dxa" w:w="328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Ассистент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5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Ергали Адлет Маратұлы</w:t>
            </w:r>
          </w:p>
        </w:tc>
        <w:tc>
          <w:tcPr>
            <w:tcW w:type="dxa" w:w="328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e-mail:</w:t>
            </w:r>
          </w:p>
        </w:tc>
        <w:tc>
          <w:tcPr>
            <w:tcW w:type="dxa" w:w="45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2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25" w:lineRule="exact"/>
              <w:ind w:left="1852" w:firstLine="0"/>
            </w:pP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</w:rPr>
              <w:fldChar w:fldCharType="begin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</w:rPr>
              <w:instrText xml:space="preserve"> HYPERLINK "mailto:yergali.adlet@gmail.com"</w:instrText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</w:rPr>
              <w:fldChar w:fldCharType="separate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y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ergali.adlet@gmail.com</w:t>
            </w:r>
            <w:r>
              <w:rPr/>
              <w:fldChar w:fldCharType="end" w:fldLock="0"/>
            </w:r>
          </w:p>
        </w:tc>
        <w:tc>
          <w:tcPr>
            <w:tcW w:type="dxa" w:w="328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5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+77017377763</w:t>
            </w:r>
          </w:p>
        </w:tc>
        <w:tc>
          <w:tcPr>
            <w:tcW w:type="dxa" w:w="328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349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АКАДЕМИЧЕСКАЯ ПРЕЗЕНТАЦИЯ ДИСЦИПЛИНЫ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Цель дисциплины</w:t>
            </w:r>
          </w:p>
        </w:tc>
        <w:tc>
          <w:tcPr>
            <w:tcW w:type="dxa" w:w="45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Ожидаемые результаты обучения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)*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Индикаторы достижения 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>ИД</w:t>
            </w:r>
            <w:r>
              <w:rPr>
                <w:rStyle w:val="Нет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>)</w:t>
            </w:r>
            <w:r>
              <w:rPr>
                <w:rStyle w:val="Нет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ru-RU"/>
              </w:rPr>
              <w:t> </w:t>
            </w:r>
            <w:r>
              <w:rPr>
                <w:rStyle w:val="Нет"/>
                <w:sz w:val="20"/>
                <w:szCs w:val="20"/>
                <w:shd w:val="clear" w:color="auto" w:fill="ffffff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5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Ознакомить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студентов с действующей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антикоррупционной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политикой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основными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коррупционными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преступными правонарушени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ями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совершаемыми в стране и</w:t>
              <w:tab/>
              <w:t xml:space="preserve"> мерами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противодействия им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Кроме того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студенты изучают на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курсах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зарубежный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опыт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противодействия коррупции и деятельность международных антикоррупционных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организаций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549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когнитивный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Понимать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что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такое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коррупция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представлять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ее негативные последствия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1.1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Понимание сущности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33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9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1.2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Представление  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негативных последствий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9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функциональный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Иметь представление об основных коррупционных правонарушениях и виды ответственности за их совершение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Знание</w:t>
              <w:tab/>
              <w:t>коррупционных</w:t>
            </w:r>
          </w:p>
          <w:p>
            <w:pPr>
              <w:pStyle w:val="Normal.0"/>
              <w:widowControl w:val="0"/>
              <w:tabs>
                <w:tab w:val="left" w:pos="1448"/>
                <w:tab w:val="left" w:pos="3324"/>
              </w:tabs>
              <w:bidi w:val="0"/>
              <w:spacing w:line="230" w:lineRule="atLeast"/>
              <w:ind w:left="110" w:right="104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уголовных</w:t>
              <w:tab/>
              <w:t>правонарушений</w:t>
              <w:tab/>
              <w:t>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санкции за их совершение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9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pacing w:val="0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2.2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Разграничение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уголовные от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 административных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правонарушений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9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функциональный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Ориентироваться</w:t>
              <w:tab/>
              <w:t>в основных мера х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3.1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Классификация</w:t>
              <w:tab/>
              <w:t>мер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противодействия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9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3.2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Ориентирование в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нормативных правовых актах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касающихся</w:t>
              <w:tab/>
              <w:t xml:space="preserve">вопросов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9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функциональный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Анализировать основные причины совершения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 в 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Определение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основных причин совершения коррупции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9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4.2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Предложение</w:t>
              <w:tab/>
              <w:t>мер</w:t>
              <w:tab/>
              <w:t xml:space="preserve">по 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противодействию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9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системный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Знать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международный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опыт противодействия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5.1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Иметь</w:t>
              <w:tab/>
              <w:t>представление</w:t>
              <w:tab/>
              <w:t>о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деятельности международных организаций</w:t>
            </w:r>
            <w:r>
              <w:rPr>
                <w:rStyle w:val="Нет"/>
                <w:spacing w:val="2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2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их</w:t>
            </w:r>
            <w:r>
              <w:rPr>
                <w:rStyle w:val="Нет"/>
                <w:spacing w:val="2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роли</w:t>
            </w:r>
            <w:r>
              <w:rPr>
                <w:rStyle w:val="Нет"/>
                <w:spacing w:val="2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28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борьбе</w:t>
            </w:r>
            <w:r>
              <w:rPr>
                <w:rStyle w:val="Нет"/>
                <w:spacing w:val="2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12" w:hRule="atLeast"/>
        </w:trPr>
        <w:tc>
          <w:tcPr>
            <w:tcW w:type="dxa" w:w="15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49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5.2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Анализировать</w:t>
            </w:r>
            <w:r>
              <w:rPr>
                <w:rStyle w:val="Нет"/>
                <w:spacing w:val="4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национальное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законодательство</w:t>
              <w:tab/>
              <w:t>с</w:t>
              <w:tab/>
              <w:t>зарубежным законодательством</w:t>
              <w:tab/>
              <w:t>по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вопросам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противодействия 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Пререквизиты </w:t>
            </w:r>
          </w:p>
        </w:tc>
        <w:tc>
          <w:tcPr>
            <w:tcW w:type="dxa" w:w="783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UPRK 2205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Уголовное право РК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общая часть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),  UPRK2212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Уголовное право РК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особенная части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), Krim 3214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Криминология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APRK 2206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Административное право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Постреквизиты</w:t>
            </w:r>
          </w:p>
        </w:tc>
        <w:tc>
          <w:tcPr>
            <w:tcW w:type="dxa" w:w="783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PORK1202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Правоохранительные органы РК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APRK 2206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Административное право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OKUP3220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Основы квалификации преступлений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TSD 4305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Теория судебных доказательств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PN 4304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Прокурорский надзор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APRK3219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Адвокатское право РК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45" w:hRule="atLeast"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Учебные ресурсы</w:t>
            </w:r>
          </w:p>
        </w:tc>
        <w:tc>
          <w:tcPr>
            <w:tcW w:type="dxa" w:w="783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Основная литература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widowControl w:val="0"/>
              <w:numPr>
                <w:ilvl w:val="0"/>
                <w:numId w:val="1"/>
              </w:numPr>
              <w:bidi w:val="0"/>
              <w:spacing w:line="225" w:lineRule="exact"/>
              <w:ind w:right="0"/>
              <w:jc w:val="both"/>
              <w:rPr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Уголовное кодекс РК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3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июля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2014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Алматы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ЮРИСТ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2022.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208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Normal.0"/>
              <w:widowControl w:val="0"/>
              <w:numPr>
                <w:ilvl w:val="0"/>
                <w:numId w:val="2"/>
              </w:numPr>
              <w:bidi w:val="0"/>
              <w:spacing w:before="20" w:line="254" w:lineRule="auto"/>
              <w:ind w:right="94"/>
              <w:jc w:val="both"/>
              <w:rPr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Комментарий к Уголовному кодексу Республики Казахстан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Под ред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Даулбаева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Алматы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, 2015.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- 500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Normal.0"/>
              <w:widowControl w:val="0"/>
              <w:numPr>
                <w:ilvl w:val="0"/>
                <w:numId w:val="2"/>
              </w:numPr>
              <w:bidi w:val="0"/>
              <w:spacing w:before="2" w:line="254" w:lineRule="auto"/>
              <w:ind w:right="98"/>
              <w:jc w:val="both"/>
              <w:rPr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Противодействие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учебное пособие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составители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Межведилов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Бакулина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Антонов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Талан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Ю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Виноградова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Гильфанова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Казань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изд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Казань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2016. - 192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Normal.0"/>
              <w:widowControl w:val="0"/>
              <w:numPr>
                <w:ilvl w:val="0"/>
                <w:numId w:val="2"/>
              </w:numPr>
              <w:bidi w:val="0"/>
              <w:spacing w:before="3" w:line="256" w:lineRule="auto"/>
              <w:ind w:right="101"/>
              <w:jc w:val="both"/>
              <w:rPr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Основы антикоррупционной культуры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учебное пособие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общей редакцией руководил 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профессор Б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Абдрасилов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– Астана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Академия государственного управления при Президенте Республики Казахстан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2016. - 176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Normal.0"/>
              <w:widowControl w:val="0"/>
              <w:numPr>
                <w:ilvl w:val="0"/>
                <w:numId w:val="3"/>
              </w:numPr>
              <w:bidi w:val="0"/>
              <w:ind w:right="102"/>
              <w:jc w:val="both"/>
              <w:rPr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Противостояние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новые вызовы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Иванов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Хабриева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Ю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Чиханчин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[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 др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.];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отв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ред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Хабриева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– 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Институт законодательства и сравнительного права При Правительстве Российской Федерации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ИНФРА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2016. - 384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Normal.0"/>
              <w:widowControl w:val="0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Пименов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Обеспечение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противодействия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– 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2018. -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238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Normal.0"/>
              <w:widowControl w:val="0"/>
              <w:numPr>
                <w:ilvl w:val="0"/>
                <w:numId w:val="5"/>
              </w:numPr>
              <w:bidi w:val="0"/>
              <w:ind w:right="1547"/>
              <w:jc w:val="left"/>
              <w:rPr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Годунов 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Противодействие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Учебник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– 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., 2019. - 730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Интернет ресурсы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:</w:t>
            </w:r>
          </w:p>
          <w:p>
            <w:pPr>
              <w:pStyle w:val="Normal.0"/>
              <w:widowControl w:val="0"/>
              <w:numPr>
                <w:ilvl w:val="0"/>
                <w:numId w:val="5"/>
              </w:numPr>
              <w:bidi w:val="0"/>
              <w:ind w:right="1547"/>
              <w:jc w:val="left"/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</w:rPr>
              <w:fldChar w:fldCharType="begin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</w:rPr>
              <w:instrText xml:space="preserve"> HYPERLINK "http://elibrary.kaznu.kz/ru"</w:instrTex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</w:rPr>
              <w:fldChar w:fldCharType="separate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http://elibrary.kaznu.kz/ru</w:t>
            </w:r>
            <w:r>
              <w:rPr>
                <w:sz w:val="20"/>
                <w:szCs w:val="20"/>
                <w14:textOutline w14:w="12700" w14:cap="flat">
                  <w14:noFill/>
                  <w14:miter w14:lim="400000"/>
                </w14:textOutline>
              </w:rPr>
              <w:fldChar w:fldCharType="end" w:fldLock="0"/>
            </w:r>
          </w:p>
          <w:p>
            <w:pPr>
              <w:pStyle w:val="Normal.0"/>
              <w:widowControl w:val="0"/>
              <w:numPr>
                <w:ilvl w:val="0"/>
                <w:numId w:val="5"/>
              </w:numPr>
              <w:bidi w:val="0"/>
              <w:ind w:right="1547"/>
              <w:jc w:val="left"/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Hyperlink.3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"https://www.gov.kz/memleket/entities/anticorruption?lang=kk"</w:instrText>
            </w:r>
            <w:r>
              <w:rPr>
                <w:rStyle w:val="Hyperlink.3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t>https://www.gov.kz/memleket/entities/anticorruption?lang=kk</w:t>
            </w:r>
            <w:r>
              <w:rPr>
                <w:sz w:val="20"/>
                <w:szCs w:val="20"/>
                <w14:textOutline w14:w="12700" w14:cap="flat">
                  <w14:noFill/>
                  <w14:miter w14:lim="400000"/>
                </w14:textOutline>
              </w:rPr>
              <w:fldChar w:fldCharType="end" w:fldLock="0"/>
            </w:r>
          </w:p>
          <w:p>
            <w:pPr>
              <w:pStyle w:val="Normal.0"/>
              <w:widowControl w:val="0"/>
              <w:numPr>
                <w:ilvl w:val="0"/>
                <w:numId w:val="5"/>
              </w:numPr>
              <w:bidi w:val="0"/>
              <w:ind w:right="1547"/>
              <w:jc w:val="left"/>
              <w:rPr>
                <w:sz w:val="20"/>
                <w:szCs w:val="2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https://</w:t>
            </w:r>
            <w:r>
              <w:rPr>
                <w:rStyle w:val="Hyperlink.4"/>
                <w:sz w:val="20"/>
                <w:szCs w:val="20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</w:rPr>
              <w:fldChar w:fldCharType="begin" w:fldLock="0"/>
            </w:r>
            <w:r>
              <w:rPr>
                <w:rStyle w:val="Hyperlink.4"/>
                <w:sz w:val="20"/>
                <w:szCs w:val="20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</w:rPr>
              <w:instrText xml:space="preserve"> HYPERLINK "http://www.transparency.org/"</w:instrText>
            </w:r>
            <w:r>
              <w:rPr>
                <w:rStyle w:val="Hyperlink.4"/>
                <w:sz w:val="20"/>
                <w:szCs w:val="20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</w:rPr>
              <w:fldChar w:fldCharType="separate" w:fldLock="0"/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www.transparency.org/</w:t>
            </w:r>
            <w:r>
              <w:rPr>
                <w:sz w:val="20"/>
                <w:szCs w:val="20"/>
                <w14:textOutline w14:w="12700" w14:cap="flat">
                  <w14:noFill/>
                  <w14:miter w14:lim="400000"/>
                </w14:textOutline>
              </w:rPr>
              <w:fldChar w:fldCharType="end" w:fldLock="0"/>
            </w:r>
          </w:p>
        </w:tc>
      </w:tr>
    </w:tbl>
    <w:p>
      <w:pPr>
        <w:pStyle w:val="Normal.0"/>
        <w:widowControl w:val="0"/>
        <w:ind w:left="108" w:hanging="108"/>
        <w:rPr>
          <w:rStyle w:val="Нет"/>
          <w:b w:val="1"/>
          <w:bCs w:val="1"/>
          <w:sz w:val="20"/>
          <w:szCs w:val="20"/>
        </w:rPr>
      </w:pPr>
    </w:p>
    <w:p>
      <w:pPr>
        <w:pStyle w:val="Normal.0"/>
        <w:widowControl w:val="0"/>
        <w:rPr>
          <w:rStyle w:val="Нет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line="276" w:lineRule="auto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49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>
        <w:tblPrEx>
          <w:shd w:val="clear" w:color="auto" w:fill="ced7e7"/>
        </w:tblPrEx>
        <w:trPr>
          <w:trHeight w:val="7132" w:hRule="atLeast"/>
        </w:trPr>
        <w:tc>
          <w:tcPr>
            <w:tcW w:type="dxa" w:w="17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Академическая политика дисциплины </w:t>
            </w:r>
          </w:p>
        </w:tc>
        <w:tc>
          <w:tcPr>
            <w:tcW w:type="dxa" w:w="878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Академическая политика дисциплины определяется </w: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instrText xml:space="preserve"> HYPERLINK "https://univer.kaznu.kz/Content/instructions/%2525D0%252590%2525D0%2525BA%2525D0%2525B0%2525D0%2525B4%2525D0%2525B5%2525D0%2525BC%2525D0%2525B8%2525D1%252587%2525D0%2525B5%2525D1%252581%2525D0%2525BA%2525D0%2525B0%2525D1%25258F%252520%2525D0%2525BF%2525D0%2525BE%2525D0%2525BB%2525D0%2525B8%2525D1%252582%2525D0%2525B8%2525D0%2525BA%2525D0%2525B0.pdf"</w:instrTex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Академической политикой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 xml:space="preserve"> и </w: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instrText xml:space="preserve"> HYPERLINK "https://univer.kaznu.kz/Content/instructions/%2525D0%25259F%2525D0%2525BE%2525D0%2525BB%2525D0%2525B8%2525D1%252582%2525D0%2525B8%2525D0%2525BA%2525D0%2525B0%252520%2525D0%2525B0%2525D0%2525BA%2525D0%2525B0%2525D0%2525B4%2525D0%2525B5%2525D0%2525BC%2525D0%2525B8%2525D1%252587%2525D0%2525B5%2525D1%252581%2525D0%2525BA%2525D0%2525BE%2525D0%2525B9%252520%2525D1%252587%2525D0%2525B5%2525D1%252581%2525D1%252582%2525D0%2525BD%2525D0%2525BE%2525D1%252581%2525D1%252582%2525D0%2525B8.pdf"</w:instrTex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Политикой академической честности КазНУ имени аль</w: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Фараби</w: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Документы доступны на главной странице ИС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Univer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Интеграция науки и образования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Научно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исследовательская работа студентов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магистрантов и докторантов – это углубление учебного процесса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Она организуется непосредственно на кафедрах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 лабораториях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научных и проектных подразделениях университета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 студенческих научно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технических объединениях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исследовательских и информационных технологий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Преподаватель исследовательского университета интегрирует результаты научной деятельности в тематику лекций и семинарских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практических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занятий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лабораторных занятий и в задания СРОП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СРО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которые отражаются в силлабусе и отвечают за актуальность тематик учебных занятий и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заданий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Посещаемость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Дедлайн каждого задания указан в календаре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графике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реализации содержания дисциплины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Несоблюдение дедлайнов приводит к потере баллов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Академическая честность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Практические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лабораторные занятия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СРО развивают у обучающегося самостоятельность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критическое мышление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креативность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Недопустимы плагиат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подлог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использование шпаргалок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списывание на всех этапах выполнения заданий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instrText xml:space="preserve"> HYPERLINK "https://univer.kaznu.kz/Content/instructions/%2525D0%25259F%2525D1%252580%2525D0%2525B0%2525D0%2525B2%2525D0%2525B8%2525D0%2525BB%2525D0%2525B0%252520%2525D0%2525BF%2525D1%252580%2525D0%2525BE%2525D0%2525B2%2525D0%2525B5%2525D0%2525B4%2525D0%2525B5%2525D0%2525BD%2525D0%2525B8%2525D1%25258F%252520%2525D0%2525B8%2525D1%252582%2525D0%2525BE%2525D0%2525B3%2525D0%2525BE%2525D0%2525B2%2525D0%2525BE%2525D0%2525B3%2525D0%2525BE%252520%2525D0%2525BA%2525D0%2525BE%2525D0%2525BD%2525D1%252582%2525D1%252580%2525D0%2525BE%2525D0%2525BB%2525D1%25258F%252520%2525D0%25259B%2525D0%2525AD%2525D0%2525A1%2525202022-2023%252520%2525D1%252583%2525D1%252587%2525D0%2525B3%2525D0%2525BE%2525D0%2525B4%252520%2525D1%252580%2525D1%252583%2525D1%252581%2525D1%25258F%2525D0%2525B7%2525D1%25258B%2525D0%2525BA%2525D0%2525B5.pdf"</w:instrTex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«Правила проведения итогового контроля»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instrText xml:space="preserve"> HYPERLINK "https://univer.kaznu.kz/Content/instructions/%2525D0%252598%2525D0%2525BD%2525D1%252581%2525D1%252582%2525D1%252580%2525D1%252583%2525D0%2525BA%2525D1%252586%2525D0%2525B8%2525D1%25258F%252520%2525D0%2525B4%2525D0%2525BB%2525D1%25258F%252520%2525D0%2525B8%2525D1%252582%2525D0%2525BE%2525D0%2525B3%2525D0%2525BE%2525D0%2525B2%2525D0%2525BE%2525D0%2525B3%2525D0%2525BE%252520%2525D0%2525BA%2525D0%2525BE%2525D0%2525BD%2525D1%252582%2525D1%252580%2525D0%2525BE%2525D0%2525BB%2525D1%25258F%252520%2525D0%2525B2%2525D0%2525B5%2525D1%252581%2525D0%2525B5%2525D0%2525BD%2525D0%2525BD%2525D0%2525B5%2525D0%2525B3%2525D0%2525BE%252520%2525D1%252581%2525D0%2525B5%2525D0%2525BC%2525D0%2525B5%2525D1%252581%2525D1%252582%2525D1%252580%2525D0%2525B0%2525202022-2023.pdf"</w:instrTex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«Инструкции для проведения итогового контроля осеннего</w: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весеннего семестра текущего учебного года»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«Положение о проверке текстовых документов обучающихся на наличие заимствований»</w: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Документы доступны на главной странице ИС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Univer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Основные принципы инклюзивного образования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Образовательная среда университета задумана как безопасное место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где всегда присутствуют поддержка и равное отношение со стороны преподавателя ко всем обучающимся и обучающихся друг к другу независимо от гендерной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расовой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этнической принадлежности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религиозных убеждений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социально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экономического статуса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физического здоровья студента и др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Все люди нуждаются в поддержке и дружбе ровесников и сокурсников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Для всех студентов достижение прогресса скорее в том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что они могут делать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чем в том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что не могут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Разнообразие усиливает все стороны жизни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Все обучающиеся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особенно с ограниченными возможностями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могут получать консультативную помощь по телефону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mail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aselya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sharipova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@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mail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ru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049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ИНФОРМАЦИЯ О ПРЕПОДАВАНИИ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ОБУЧЕНИИ И ОЦЕНИВАНИИ</w:t>
            </w:r>
          </w:p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49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Балльно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рейтинговая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буквенная система оценки учета учебных достижений</w:t>
            </w:r>
          </w:p>
        </w:tc>
        <w:tc>
          <w:tcPr>
            <w:tcW w:type="dxa" w:w="55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Методы оценивания</w:t>
            </w:r>
          </w:p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Оценка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Цифровой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эквивалент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баллов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Баллы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% 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содержание 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Оценка по традиционной системе</w:t>
            </w:r>
          </w:p>
        </w:tc>
        <w:tc>
          <w:tcPr>
            <w:tcW w:type="dxa" w:w="552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sz w:val="16"/>
                <w:szCs w:val="16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Критериальное оценивание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– процесс соотнесения реально достигнутых результатов обучения с ожидаемыми результатами обучения на основе четко выработанных критериев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Основано на формативном и суммативном оценивании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Формативное оценивание –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вид оценивания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который проводится в ходе повседневной учебной деятельности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Является текущим показателем успеваемости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Обеспечивает оперативную взаимосвязь между обучающимся и преподавателем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Позволяет определить возможности обучающегося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выявить трудности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помочь в достижении наилучших результатов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своевременно корректировать преподавателю образовательный процесс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Оценивается выполнение заданий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активность работы в аудитории во время лекций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семинаров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практических занятий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дискуссии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викторины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дебаты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круглые столы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лабораторные работы и т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.). 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Оцениваются приобретенные знания и компетенции</w:t>
            </w:r>
            <w:r>
              <w:rPr>
                <w:rStyle w:val="Hyperlink.4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Суммативное оценивание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–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вид оценивания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который проводится по завершению изучения раздела в соответствии с программой дисциплины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Проводится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3-4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раза за семестр при выполнении СРО</w:t>
            </w:r>
            <w:r>
              <w:rPr>
                <w:rStyle w:val="Нет"/>
                <w:outline w:val="0"/>
                <w:color w:val="ff0000"/>
                <w:sz w:val="16"/>
                <w:szCs w:val="16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Это оценивание освоения ожидаемых результатов обучения в соотнесенности с дескрипторами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Позволяет определять и фиксировать уровень освоения дисциплины за определенный период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Оцениваются результаты обучения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09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,0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95-100</w:t>
            </w:r>
          </w:p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Отлично</w:t>
            </w:r>
          </w:p>
        </w:tc>
        <w:tc>
          <w:tcPr>
            <w:tcW w:type="dxa" w:w="552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9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A-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3,67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90-94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2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39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B+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3,33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85-89</w:t>
            </w:r>
          </w:p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Хорошо</w:t>
            </w:r>
          </w:p>
        </w:tc>
        <w:tc>
          <w:tcPr>
            <w:tcW w:type="dxa" w:w="552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B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3,0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80-84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Формативное и суммативное оценивание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Баллы 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% </w:t>
            </w:r>
            <w:r>
              <w:rPr>
                <w:rStyle w:val="Нет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содержание</w:t>
            </w:r>
          </w:p>
        </w:tc>
      </w:tr>
      <w:tr>
        <w:tblPrEx>
          <w:shd w:val="clear" w:color="auto" w:fill="ced7e7"/>
        </w:tblPrEx>
        <w:trPr>
          <w:trHeight w:val="19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B-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2,67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75-79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Активность на лекциях                                      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9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C+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2,33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70-74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Работа на практических занятиях                    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19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C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2,0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65-69</w:t>
            </w:r>
          </w:p>
        </w:tc>
        <w:tc>
          <w:tcPr>
            <w:tcW w:type="dxa" w:w="18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Удовлетворительно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Самостоятельная работа                                    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19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C-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1,67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60-64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Проектная и творческая деятельность            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19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en-US"/>
              </w:rPr>
              <w:t>D+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1,33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55-59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Итоговый контроль 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экзамен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)                                                       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40</w:t>
            </w:r>
          </w:p>
        </w:tc>
      </w:tr>
      <w:tr>
        <w:tblPrEx>
          <w:shd w:val="clear" w:color="auto" w:fill="ced7e7"/>
        </w:tblPrEx>
        <w:trPr>
          <w:trHeight w:val="19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D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1,0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50-54</w:t>
            </w:r>
          </w:p>
        </w:tc>
        <w:tc>
          <w:tcPr>
            <w:tcW w:type="dxa" w:w="18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ИТОГО                                      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100 </w:t>
            </w:r>
          </w:p>
        </w:tc>
      </w:tr>
      <w:tr>
        <w:tblPrEx>
          <w:shd w:val="clear" w:color="auto" w:fill="ced7e7"/>
        </w:tblPrEx>
        <w:trPr>
          <w:trHeight w:val="19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FX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0,5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25-49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Неудовлетворительно</w:t>
            </w:r>
          </w:p>
        </w:tc>
        <w:tc>
          <w:tcPr>
            <w:tcW w:type="dxa" w:w="3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F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0-24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1049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  <w:rPr>
                <w:rStyle w:val="Нет"/>
                <w:b w:val="1"/>
                <w:bCs w:val="1"/>
                <w:sz w:val="8"/>
                <w:szCs w:val="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Календарь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график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реализации содержания дисциплины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Методы преподавания и обучения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ind w:left="108" w:hanging="108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50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1"/>
        <w:gridCol w:w="8050"/>
        <w:gridCol w:w="861"/>
        <w:gridCol w:w="725"/>
      </w:tblGrid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Неделя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Название темы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во часов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127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балл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05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Модуль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Нет"/>
                <w:b w:val="1"/>
                <w:bCs w:val="1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Антикоррупционная политика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Понятие коррупции и ее правовые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последствия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Цель</w:t>
            </w:r>
            <w:r>
              <w:rPr>
                <w:rStyle w:val="Нет"/>
                <w:spacing w:val="3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3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4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Противодействие</w:t>
            </w:r>
            <w:r>
              <w:rPr>
                <w:rStyle w:val="Нет"/>
                <w:spacing w:val="3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38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основныепринципы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действия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2.  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История развития противодействия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Борьба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4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коррупцией  в</w:t>
            </w:r>
            <w:r>
              <w:rPr>
                <w:rStyle w:val="Нет"/>
                <w:spacing w:val="5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советское</w:t>
            </w:r>
            <w:r>
              <w:rPr>
                <w:rStyle w:val="Нет"/>
                <w:spacing w:val="4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время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5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Роль</w:t>
            </w:r>
            <w:r>
              <w:rPr>
                <w:rStyle w:val="Нет"/>
                <w:spacing w:val="5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Ли</w:t>
            </w:r>
            <w:r>
              <w:rPr>
                <w:rStyle w:val="Нет"/>
                <w:spacing w:val="4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Хуан  Ю</w:t>
            </w:r>
            <w:r>
              <w:rPr>
                <w:rStyle w:val="Нет"/>
                <w:spacing w:val="5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5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борьбе</w:t>
            </w:r>
            <w:r>
              <w:rPr>
                <w:rStyle w:val="Нет"/>
                <w:spacing w:val="4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 коррупцией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СРОП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Консультация</w:t>
            </w:r>
            <w:r>
              <w:rPr>
                <w:rStyle w:val="Нет"/>
                <w:spacing w:val="66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63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выполнению</w:t>
            </w:r>
            <w:r>
              <w:rPr>
                <w:rStyle w:val="Нет"/>
                <w:spacing w:val="66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spacing w:val="71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на</w:t>
            </w:r>
            <w:r>
              <w:rPr>
                <w:rStyle w:val="Нет"/>
                <w:spacing w:val="66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тему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spacing w:val="70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«Антикоррупционная политика»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Антикоррупционная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политика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проводимая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Республике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Казахстан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3.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Нормативные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правовые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акты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регламентирующие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вопросы противодействия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1. 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презентация «Антикоррупционная</w:t>
            </w:r>
            <w:r>
              <w:rPr>
                <w:rStyle w:val="Нет"/>
                <w:spacing w:val="0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политика»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Субъекты противодействия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Деятельность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антикоррупционной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службы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Взаимодействие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государственных органов в борьбе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СРОП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Консультация 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выполнению СРО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тему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«Антикоррупционная служба»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Антикоррупционная служба и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участие общественности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противодействия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Роль общественного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контроля в борьбе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Антикоррупционная культура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Презентация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«Антикоррупционная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служба»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6.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Виды коррупционных уголовных правонарушений 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наказания за их совершение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Квалификация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 уголовных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правонарушений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совершение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 уголовных правонарушений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СРОП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Консультация 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выполнению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тему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«Деятельность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Transparency</w:t>
            </w:r>
            <w:r>
              <w:rPr>
                <w:rStyle w:val="Нет"/>
                <w:spacing w:val="-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International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7.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Меры 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профилактике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7.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Виктимология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 уголовных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правонарушений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Антикоррупционная стратегия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Республики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Казахстан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10" w:lineRule="exact"/>
              <w:ind w:left="110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3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презентация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«Деятельность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Transparency</w:t>
            </w:r>
            <w:r>
              <w:rPr>
                <w:rStyle w:val="Нет"/>
                <w:spacing w:val="-10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International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7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Рубежный контроль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05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Модуль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II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Международный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опыт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 коррупции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8.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Сингапурский опыт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8.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 за коррупционные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 в Сингапуре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Меры по предупреждению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преступлений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Сингапуре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Презентация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«Международный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опыт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Опыт Грузии 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противодействию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 коррупционные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Грузии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Меры 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предупреждению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 преступлений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Грузии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Опыт Китая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 Японии 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противодействию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 за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 в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Китае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Японии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Меры 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предупреждению коррупционных преступлений в Китае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 Японии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spacing w:val="-5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«Международные</w:t>
            </w:r>
            <w:r>
              <w:rPr>
                <w:rStyle w:val="Нет"/>
                <w:spacing w:val="-7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организации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противодействующие коррупции»</w:t>
            </w:r>
            <w:r>
              <w:rPr>
                <w:rStyle w:val="Нет"/>
                <w:sz w:val="20"/>
                <w:szCs w:val="20"/>
                <w:u w:color="ff000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11.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Опыт США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 Канады 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противодействию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11.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 за коррупционные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 в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Китае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 Японии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Меры 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предупреждению коррупционных преступлений в Китае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 Японии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12.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Опыт Великобритании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противодействию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12.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 в Великобритании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Меры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предупреждению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 преступлений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Великобритании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СРОП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Консультация</w:t>
            </w:r>
            <w:r>
              <w:rPr>
                <w:rStyle w:val="Нет"/>
                <w:spacing w:val="1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выполнению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СРО</w:t>
            </w:r>
            <w:r>
              <w:rPr>
                <w:rStyle w:val="Нет"/>
                <w:spacing w:val="1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6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Style w:val="Нет"/>
                <w:spacing w:val="1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тему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spacing w:val="1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«Роль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ООН в борьбе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коррупцией»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2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13.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Опыт Финляндии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противодействии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13.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 за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 в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Финляндии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Меры 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предупреждению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 преступлений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Финляндии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6.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«Уголовная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совершение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 уголовных правонарушений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рубежом»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14.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Опыт Российской Федерации 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противодействию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14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Ответственность за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 в Российской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Федерации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Меры 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предупреждению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 преступлений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Финляндии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СРОП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Консультация</w:t>
            </w:r>
            <w:r>
              <w:rPr>
                <w:rStyle w:val="Нет"/>
                <w:spacing w:val="1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выполнению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СРО</w:t>
            </w:r>
            <w:r>
              <w:rPr>
                <w:rStyle w:val="Нет"/>
                <w:spacing w:val="1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Style w:val="Нет"/>
                <w:spacing w:val="1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тему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spacing w:val="1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«Роль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ООН в борьбе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коррупцией»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15.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Роль международных антикоррупционных организаций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СЗ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15.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Роль международных антикоррупционных организаций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7.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 «Роль ООН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борьбе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коррупцией»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7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Рубежный контроль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7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Итоговый контроль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экзамен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7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ИТОГО за дисциплину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76"/>
              </w:tabs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100</w:t>
            </w:r>
          </w:p>
        </w:tc>
      </w:tr>
    </w:tbl>
    <w:p>
      <w:pPr>
        <w:pStyle w:val="Normal.0"/>
        <w:widowControl w:val="0"/>
        <w:ind w:left="108" w:hanging="108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76"/>
        </w:tabs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</w:t>
      </w:r>
    </w:p>
    <w:p>
      <w:pPr>
        <w:pStyle w:val="Normal.0"/>
        <w:jc w:val="both"/>
        <w:rPr>
          <w:rStyle w:val="eop"/>
          <w:sz w:val="20"/>
          <w:szCs w:val="20"/>
        </w:rPr>
      </w:pPr>
    </w:p>
    <w:p>
      <w:pPr>
        <w:pStyle w:val="Normal.0"/>
        <w:spacing w:after="12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Декан                                                                                                                              Байдельдинов Д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   </w:t>
      </w:r>
    </w:p>
    <w:p>
      <w:pPr>
        <w:pStyle w:val="Normal.0"/>
        <w:spacing w:after="12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                                                                        </w:t>
      </w:r>
    </w:p>
    <w:p>
      <w:pPr>
        <w:pStyle w:val="Normal.0"/>
        <w:spacing w:after="12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Заведующий кафедрой                                                                                                Джансараева Р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spacing w:after="120"/>
        <w:rPr>
          <w:rStyle w:val="Нет"/>
          <w:b w:val="1"/>
          <w:bCs w:val="1"/>
          <w:sz w:val="20"/>
          <w:szCs w:val="20"/>
        </w:rPr>
      </w:pPr>
    </w:p>
    <w:p>
      <w:pPr>
        <w:pStyle w:val="Normal.0"/>
        <w:spacing w:after="12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Лектор                                                                                                                            Абдрахманов Д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РУБРИКАТОР СУММАТИВНОГО ОЦЕНИВАНИЯ</w:t>
      </w:r>
    </w:p>
    <w:p>
      <w:pPr>
        <w:pStyle w:val="paragraph"/>
        <w:spacing w:before="0" w:after="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 </w:t>
      </w:r>
    </w:p>
    <w:p>
      <w:pPr>
        <w:pStyle w:val="paragraph"/>
        <w:spacing w:before="0" w:after="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КРИТЕРИИ ОЦЕНИВАНИЯ РЕЗУЛЬТАТОВ ОБУЧЕНИЯ 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p>
      <w:pPr>
        <w:pStyle w:val="paragraph"/>
        <w:spacing w:before="0" w:after="0"/>
        <w:rPr>
          <w:rStyle w:val="eop"/>
          <w:sz w:val="20"/>
          <w:szCs w:val="20"/>
        </w:rPr>
      </w:pP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Оформляется по желанию преподавателя для каждого запланированного суммативного оценивания 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СРО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)</w:t>
      </w:r>
    </w:p>
    <w:p>
      <w:pPr>
        <w:pStyle w:val="paragraph"/>
        <w:spacing w:before="0" w:after="0"/>
        <w:jc w:val="center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 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  </w:t>
      </w: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ШАБЛОН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 </w:t>
      </w:r>
    </w:p>
    <w:p>
      <w:pPr>
        <w:pStyle w:val="Normal.0"/>
        <w:tabs>
          <w:tab w:val="left" w:pos="1276"/>
        </w:tabs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Название задания</w:t>
      </w:r>
      <w:r>
        <w:rPr>
          <w:rStyle w:val="Нет"/>
          <w:sz w:val="20"/>
          <w:szCs w:val="20"/>
          <w:rtl w:val="0"/>
          <w:lang w:val="ru-RU"/>
        </w:rPr>
        <w:t> 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баллы</w:t>
      </w:r>
      <w:r>
        <w:rPr>
          <w:rStyle w:val="Нет"/>
          <w:sz w:val="20"/>
          <w:szCs w:val="20"/>
          <w:rtl w:val="0"/>
          <w:lang w:val="ru-RU"/>
        </w:rPr>
        <w:t xml:space="preserve">, % </w:t>
      </w:r>
      <w:r>
        <w:rPr>
          <w:rStyle w:val="Нет"/>
          <w:sz w:val="20"/>
          <w:szCs w:val="20"/>
          <w:rtl w:val="0"/>
          <w:lang w:val="ru-RU"/>
        </w:rPr>
        <w:t xml:space="preserve">содержание от </w:t>
      </w:r>
      <w:r>
        <w:rPr>
          <w:rStyle w:val="Нет"/>
          <w:sz w:val="20"/>
          <w:szCs w:val="20"/>
          <w:rtl w:val="0"/>
          <w:lang w:val="ru-RU"/>
        </w:rPr>
        <w:t xml:space="preserve">100% </w:t>
      </w:r>
      <w:r>
        <w:rPr>
          <w:rStyle w:val="Нет"/>
          <w:sz w:val="20"/>
          <w:szCs w:val="20"/>
          <w:rtl w:val="0"/>
          <w:lang w:val="ru-RU"/>
        </w:rPr>
        <w:t>РК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копировать из календаря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графика</w:t>
      </w:r>
      <w:r>
        <w:rPr>
          <w:rStyle w:val="Нет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> реализации содержания дисциплины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методы преподавания и обучения</w:t>
      </w:r>
    </w:p>
    <w:p>
      <w:pPr>
        <w:pStyle w:val="Normal.0"/>
        <w:rPr>
          <w:rStyle w:val="eop"/>
          <w:sz w:val="20"/>
          <w:szCs w:val="20"/>
        </w:rPr>
      </w:pP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 </w:t>
      </w:r>
    </w:p>
    <w:tbl>
      <w:tblPr>
        <w:tblW w:w="1483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0"/>
        <w:gridCol w:w="2835"/>
        <w:gridCol w:w="3105"/>
        <w:gridCol w:w="3255"/>
        <w:gridCol w:w="3960"/>
      </w:tblGrid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16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Критерий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«Отлично»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вес в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31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«Хорошо»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вес в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32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«Удовлетворительно»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вес в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3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«Неудовлетворительно»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вес в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16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1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2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</w:tbl>
    <w:p>
      <w:pPr>
        <w:pStyle w:val="paragraph"/>
        <w:widowControl w:val="0"/>
        <w:spacing w:before="0" w:after="0"/>
        <w:ind w:left="108" w:hanging="108"/>
        <w:rPr>
          <w:rStyle w:val="Нет"/>
          <w:sz w:val="20"/>
          <w:szCs w:val="20"/>
        </w:rPr>
      </w:pPr>
    </w:p>
    <w:p>
      <w:pPr>
        <w:pStyle w:val="paragraph"/>
        <w:widowControl w:val="0"/>
        <w:spacing w:before="0" w:after="0"/>
        <w:rPr>
          <w:rStyle w:val="eop"/>
          <w:sz w:val="20"/>
          <w:szCs w:val="20"/>
        </w:rPr>
      </w:pP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 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 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Пример 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Письменное задание «Моя профессиональная история»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(25%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от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100%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РК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p>
      <w:pPr>
        <w:pStyle w:val="paragraph"/>
        <w:spacing w:before="0" w:after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 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tbl>
      <w:tblPr>
        <w:tblW w:w="1483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3"/>
        <w:gridCol w:w="2803"/>
        <w:gridCol w:w="2657"/>
        <w:gridCol w:w="3503"/>
        <w:gridCol w:w="3360"/>
      </w:tblGrid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2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Критерий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«Отлично»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20-25 %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6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«Хорошо»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15-20%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  </w:t>
            </w:r>
          </w:p>
        </w:tc>
        <w:tc>
          <w:tcPr>
            <w:tcW w:type="dxa" w:w="3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«Удовлетворительно» 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10-15%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33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«Неудовлетворительно»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0-10%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002" w:hRule="atLeast"/>
        </w:trPr>
        <w:tc>
          <w:tcPr>
            <w:tcW w:type="dxa" w:w="2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Понимание теорий 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 концепций профессиональной идентичности и профессионализма педагога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Глубокое понимание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и профессионализма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Предоставляются соответствующие и релевантные ссылки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цитаты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ключевые источники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6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Понимание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и профессионализма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Предоставляются ссылки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цитаты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ключевые источники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Ограниченное понимание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и профессионализма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Предоставляются ограниченные ссылки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цитаты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ключевые источники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3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Поверхностное понимание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отсутствие понимания теорий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и профессионализма учителя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Не предоставляются соответствующие ссылки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цитаты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ключевые источники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2662" w:hRule="atLeast"/>
        </w:trPr>
        <w:tc>
          <w:tcPr>
            <w:tcW w:type="dxa" w:w="2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Осознание ключевых вопросов профессиональной идентичности и профессионализма учителей в 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Хорошо связывает ключевые понятия профессиональной идентичности и профессионализма учителя с контекстом Казахстана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Отличное обоснование аргументов доказательствами эмпирического исследования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на основе интервью или статистического анализа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26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Связывает концепции профессиональной идентичности и профессионализма учителя с контекстом Казахстана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Подкрепляет аргументы доказательствами эмпирического исследования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Ограниченная связь концепций профессиональной идентичности и профессионализма учителей с контекстом Казахстана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Ограниченное использование доказательств эмпирического исследования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3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Незначительная или отсутствуют связь концепций профессиональной идентичности учителя с контекстом Казахстана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Мало или вообще не использует эмпирические исследования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2002" w:hRule="atLeast"/>
        </w:trPr>
        <w:tc>
          <w:tcPr>
            <w:tcW w:type="dxa" w:w="2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Предложение политики или практические рекомендации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предложения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Предлагает грамотные политические 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или практические рекомендации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предложения по повышению профессиональной идентичности и профессионализма учителей в 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6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Предлагает некоторые политические 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или практические рекомендации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предложения по повышению профессиональной идентичности и профессионализма учителей в Казахстане  </w:t>
            </w:r>
          </w:p>
        </w:tc>
        <w:tc>
          <w:tcPr>
            <w:tcW w:type="dxa" w:w="3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Ограниченная политика и практические рекомендации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Рекомендации несущественны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 основаны на тщательном анализе и неглубоки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3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Мало или вообще нет политики и практических рекомендаций или рекомендации очень низкого качества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2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Письмо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АРА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стиль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Письмо демонстрирует ясность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лаконичность и правильность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Строго следует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APA-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стилю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6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Письмо демонстрирует ясность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лаконичность и корректность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 основном следует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APA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стилю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письме есть некоторые ключевые ошибки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 ясность нуждается в улучшении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Есть ошибки в следовании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APA-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стилю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33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Написанное неясно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трудно следовать за содержанием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Много ошибок в следовании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APA-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стилю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</w:tbl>
    <w:p>
      <w:pPr>
        <w:pStyle w:val="paragraph"/>
        <w:widowControl w:val="0"/>
        <w:spacing w:before="0" w:after="0"/>
        <w:ind w:left="108" w:hanging="108"/>
        <w:rPr>
          <w:rStyle w:val="Нет"/>
          <w:sz w:val="20"/>
          <w:szCs w:val="20"/>
        </w:rPr>
      </w:pPr>
    </w:p>
    <w:p>
      <w:pPr>
        <w:pStyle w:val="paragraph"/>
        <w:widowControl w:val="0"/>
        <w:spacing w:before="0" w:after="0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paragraph"/>
        <w:spacing w:before="0" w:after="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   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Пример 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2.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Групповая презентация «Профессия учителя в Казахстане» 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(30%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от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100%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РК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> </w:t>
      </w:r>
    </w:p>
    <w:p>
      <w:pPr>
        <w:pStyle w:val="paragraph"/>
        <w:spacing w:before="0" w:after="0"/>
        <w:jc w:val="both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 </w:t>
      </w:r>
      <w:r>
        <w:rPr>
          <w:rStyle w:val="Нет"/>
          <w:sz w:val="20"/>
          <w:szCs w:val="20"/>
          <w:rtl w:val="0"/>
          <w:lang w:val="ru-RU"/>
        </w:rPr>
        <w:t>  </w:t>
      </w:r>
    </w:p>
    <w:tbl>
      <w:tblPr>
        <w:tblW w:w="934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37"/>
        <w:gridCol w:w="1873"/>
        <w:gridCol w:w="1793"/>
        <w:gridCol w:w="1980"/>
        <w:gridCol w:w="2166"/>
      </w:tblGrid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Критерий 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«Отлично»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25-30%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17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«Хорошо» 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20-20%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«Удовлетворительно»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15-20%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2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«Неудовлетворительно»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15%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98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Понимание теорий и концепций профессиональной идентичности учителя и профессии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Глубокое понимание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учителя и профессии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7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Понимание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учителя и профессии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Ограниченное понимание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учителя и профессии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Поверхностное понимание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отсутствие понимания теорий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концепций профессиональной идентичности учителя и профессии учителя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440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Грамотное соотношение ключевых понятий профессиональной идентичности учителя и профессии учителя с контекстом Казахстана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Отличное обоснование аргументов доказательствами эмпирического исследования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основе интервью или статистического анализа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7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Присутствует связь концепций профессиональной идентичности учителя и профессии учителя с контекстом Казахстана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Аргументы подкреплены доказательствами эмпирического исследования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Ограниченное соотношение профессиональной идентичности учителя и концепций профессии учителя с контекстом Казахстана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Ограниченное использование доказательств эмпирического исследования  </w:t>
            </w:r>
          </w:p>
        </w:tc>
        <w:tc>
          <w:tcPr>
            <w:tcW w:type="dxa" w:w="2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Незначительная связь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отсутствие связи концепций профессиональной идентичности учителя с контекстом Казахстана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Мало или вообще не используются эмпирические исследования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176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Пилотное исследование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Отличное использование результатов пилотных исследований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интервью или опрос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презентации  </w:t>
            </w:r>
          </w:p>
        </w:tc>
        <w:tc>
          <w:tcPr>
            <w:tcW w:type="dxa" w:w="17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Хорошее использование результатов пилотных исследований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интервью или опроса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презентации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Удовлетворительное использование результатов пилотных исследований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интервью или опрос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презентации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Плохое использование результатов пилотных исследований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интервью или опросов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презентации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264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Предложение политики или практических рекомендаций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предложений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Предлагает очень хорошую политику 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или практические рекомендации или предложения по улучшению профессиональной идентичности и профессии учителя в 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7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Предлагает некоторые политические 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или практические рекомендации или предложения по улучшению профессиональной идентичности и профессии учителя в 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Ограниченная политика и практические рекомендации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Рекомендации несущественны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 основаны на тщательном анализе и неглубоки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Мало или вообще нет политики и практических рекомендаций или рекомендации очень низкого качества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  <w:tr>
        <w:tblPrEx>
          <w:shd w:val="clear" w:color="auto" w:fill="ced7e7"/>
        </w:tblPrEx>
        <w:trPr>
          <w:trHeight w:val="2207" w:hRule="atLeast"/>
        </w:trPr>
        <w:tc>
          <w:tcPr>
            <w:tcW w:type="dxa" w:w="15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Hyperlink.4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командная работа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Отличная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привлекательная презентация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отличное качество визуальных эффектов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слайдов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материалов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отличная командная работа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7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Хорошая вовлеченность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хорошее качество визуальных эффектов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слайдов или других материалов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хороший уровень командной работы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Удовлетворительный уровень вовлеченности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удовлетворительное качество материалов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удовлетворительный уровень командной работы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  <w:tc>
          <w:tcPr>
            <w:tcW w:type="dxa" w:w="2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Низкий уровень вовлеченности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низкое качество материалов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плохой уровень командной работы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  </w:t>
            </w:r>
          </w:p>
        </w:tc>
      </w:tr>
    </w:tbl>
    <w:p>
      <w:pPr>
        <w:pStyle w:val="paragraph"/>
        <w:widowControl w:val="0"/>
        <w:spacing w:before="0" w:after="0"/>
        <w:ind w:left="108" w:hanging="108"/>
        <w:rPr>
          <w:rStyle w:val="Нет"/>
          <w:sz w:val="20"/>
          <w:szCs w:val="20"/>
        </w:rPr>
      </w:pPr>
    </w:p>
    <w:p>
      <w:pPr>
        <w:pStyle w:val="paragraph"/>
        <w:widowControl w:val="0"/>
        <w:spacing w:before="0" w:after="0"/>
        <w:jc w:val="both"/>
        <w:rPr>
          <w:rStyle w:val="eop"/>
          <w:sz w:val="20"/>
          <w:szCs w:val="20"/>
        </w:rPr>
      </w:pPr>
    </w:p>
    <w:p>
      <w:pPr>
        <w:pStyle w:val="Normal.0"/>
        <w:rPr>
          <w:rStyle w:val="eop"/>
          <w:sz w:val="20"/>
          <w:szCs w:val="20"/>
        </w:rPr>
      </w:pPr>
    </w:p>
    <w:p>
      <w:pPr>
        <w:pStyle w:val="Normal.0"/>
      </w:pPr>
      <w:r>
        <w:rPr>
          <w:rStyle w:val="eop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568" w:right="850" w:bottom="1418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447"/>
        </w:tabs>
        <w:ind w:left="446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47"/>
        </w:tabs>
        <w:ind w:left="105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47"/>
        </w:tabs>
        <w:ind w:left="177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47"/>
        </w:tabs>
        <w:ind w:left="249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47"/>
        </w:tabs>
        <w:ind w:left="321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47"/>
        </w:tabs>
        <w:ind w:left="393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47"/>
        </w:tabs>
        <w:ind w:left="465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47"/>
        </w:tabs>
        <w:ind w:left="537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47"/>
        </w:tabs>
        <w:ind w:left="609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3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7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9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1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3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5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7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9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3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7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9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1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3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5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7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9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47"/>
          </w:tabs>
          <w:ind w:left="446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7"/>
          </w:tabs>
          <w:ind w:left="105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7"/>
          </w:tabs>
          <w:ind w:left="177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7"/>
          </w:tabs>
          <w:ind w:left="249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7"/>
          </w:tabs>
          <w:ind w:left="321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7"/>
          </w:tabs>
          <w:ind w:left="393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7"/>
          </w:tabs>
          <w:ind w:left="465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7"/>
          </w:tabs>
          <w:ind w:left="537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7"/>
          </w:tabs>
          <w:ind w:left="609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47"/>
          </w:tabs>
          <w:ind w:left="33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7"/>
          </w:tabs>
          <w:ind w:left="105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7"/>
          </w:tabs>
          <w:ind w:left="177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7"/>
          </w:tabs>
          <w:ind w:left="249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7"/>
          </w:tabs>
          <w:ind w:left="321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7"/>
          </w:tabs>
          <w:ind w:left="393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7"/>
          </w:tabs>
          <w:ind w:left="465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7"/>
          </w:tabs>
          <w:ind w:left="537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7"/>
          </w:tabs>
          <w:ind w:left="609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000ff"/>
      <w:sz w:val="20"/>
      <w:szCs w:val="20"/>
      <w:u w:val="single" w:color="0000ff"/>
      <w:shd w:val="nil" w:color="auto" w:fill="auto"/>
      <w:lang w:val="ru-RU"/>
      <w14:textFill>
        <w14:solidFill>
          <w14:srgbClr w14:val="0000FF"/>
        </w14:solidFill>
      </w14:textFill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sz w:val="22"/>
      <w:szCs w:val="22"/>
      <w:shd w:val="nil" w:color="auto" w:fill="auto"/>
      <w:lang w:val="ru-RU"/>
      <w14:textOutline w14:w="12700" w14:cap="flat">
        <w14:noFill/>
        <w14:miter w14:lim="400000"/>
      </w14:textOutline>
    </w:rPr>
  </w:style>
  <w:style w:type="character" w:styleId="Hyperlink.2">
    <w:name w:val="Hyperlink.2"/>
    <w:basedOn w:val="Нет"/>
    <w:next w:val="Hyperlink.2"/>
    <w:rPr>
      <w:rFonts w:ascii="Times New Roman" w:cs="Times New Roman" w:hAnsi="Times New Roman" w:eastAsia="Times New Roman"/>
      <w:u w:val="single"/>
      <w:shd w:val="nil" w:color="auto" w:fill="auto"/>
      <w:lang w:val="ru-RU"/>
    </w:rPr>
  </w:style>
  <w:style w:type="character" w:styleId="Hyperlink.3">
    <w:name w:val="Hyperlink.3"/>
    <w:basedOn w:val="Нет"/>
    <w:next w:val="Hyperlink.3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:lang w:val="ru-RU"/>
      <w14:textFill>
        <w14:solidFill>
          <w14:srgbClr w14:val="0000FF"/>
        </w14:solidFill>
      </w14:textFill>
    </w:rPr>
  </w:style>
  <w:style w:type="character" w:styleId="Hyperlink.4">
    <w:name w:val="Hyperlink.4"/>
    <w:basedOn w:val="Нет"/>
    <w:next w:val="Hyperlink.4"/>
    <w:rPr>
      <w:rFonts w:ascii="Times New Roman" w:cs="Times New Roman" w:hAnsi="Times New Roman" w:eastAsia="Times New Roman"/>
      <w:shd w:val="nil" w:color="auto" w:fill="auto"/>
      <w:lang w:val="ru-RU"/>
    </w:rPr>
  </w:style>
  <w:style w:type="character" w:styleId="eop">
    <w:name w:val="eop"/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